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sz w:val="24"/>
          <w:szCs w:val="24"/>
        </w:rPr>
      </w:pPr>
      <w:r w:rsidRPr="00A9472E">
        <w:rPr>
          <w:rFonts w:ascii="Times New Roman" w:hAnsi="Times New Roman" w:cs="Times New Roman"/>
          <w:sz w:val="24"/>
          <w:szCs w:val="24"/>
        </w:rPr>
        <w:t>Executive Pay.</w:t>
      </w:r>
    </w:p>
    <w:p w:rsidR="00A9472E" w:rsidRPr="00A9472E" w:rsidRDefault="00A9472E" w:rsidP="00A9472E">
      <w:pPr>
        <w:spacing w:line="480" w:lineRule="auto"/>
        <w:jc w:val="center"/>
        <w:rPr>
          <w:rFonts w:ascii="Times New Roman" w:hAnsi="Times New Roman" w:cs="Times New Roman"/>
          <w:sz w:val="24"/>
          <w:szCs w:val="24"/>
        </w:rPr>
      </w:pPr>
      <w:r w:rsidRPr="00A9472E">
        <w:rPr>
          <w:rFonts w:ascii="Times New Roman" w:hAnsi="Times New Roman" w:cs="Times New Roman"/>
          <w:sz w:val="24"/>
          <w:szCs w:val="24"/>
        </w:rPr>
        <w:t xml:space="preserve">Name. </w:t>
      </w:r>
    </w:p>
    <w:p w:rsidR="00A9472E" w:rsidRPr="00A9472E" w:rsidRDefault="00A9472E" w:rsidP="00A9472E">
      <w:pPr>
        <w:spacing w:line="480" w:lineRule="auto"/>
        <w:jc w:val="center"/>
        <w:rPr>
          <w:rFonts w:ascii="Times New Roman" w:hAnsi="Times New Roman" w:cs="Times New Roman"/>
          <w:sz w:val="24"/>
          <w:szCs w:val="24"/>
        </w:rPr>
      </w:pPr>
      <w:r w:rsidRPr="00A9472E">
        <w:rPr>
          <w:rFonts w:ascii="Times New Roman" w:hAnsi="Times New Roman" w:cs="Times New Roman"/>
          <w:sz w:val="24"/>
          <w:szCs w:val="24"/>
        </w:rPr>
        <w:t>Institution.</w:t>
      </w:r>
    </w:p>
    <w:p w:rsidR="00A9472E" w:rsidRPr="00A9472E" w:rsidRDefault="00A9472E" w:rsidP="00A9472E">
      <w:pPr>
        <w:spacing w:line="480" w:lineRule="auto"/>
        <w:jc w:val="center"/>
        <w:rPr>
          <w:rFonts w:ascii="Times New Roman" w:hAnsi="Times New Roman" w:cs="Times New Roman"/>
          <w:b/>
          <w:sz w:val="24"/>
          <w:szCs w:val="24"/>
        </w:rPr>
      </w:pPr>
      <w:r w:rsidRPr="00A9472E">
        <w:rPr>
          <w:rFonts w:ascii="Times New Roman" w:hAnsi="Times New Roman" w:cs="Times New Roman"/>
          <w:sz w:val="24"/>
          <w:szCs w:val="24"/>
        </w:rPr>
        <w:t>Date.</w:t>
      </w: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p>
    <w:p w:rsidR="00A9472E" w:rsidRDefault="00A9472E" w:rsidP="00A9472E">
      <w:pPr>
        <w:spacing w:line="480" w:lineRule="auto"/>
        <w:rPr>
          <w:rFonts w:ascii="Times New Roman" w:hAnsi="Times New Roman" w:cs="Times New Roman"/>
          <w:b/>
          <w:sz w:val="24"/>
          <w:szCs w:val="24"/>
        </w:rPr>
      </w:pPr>
    </w:p>
    <w:p w:rsidR="00A9472E" w:rsidRPr="00A9472E" w:rsidRDefault="00A9472E" w:rsidP="00A9472E">
      <w:pPr>
        <w:spacing w:line="480" w:lineRule="auto"/>
        <w:rPr>
          <w:rFonts w:ascii="Times New Roman" w:hAnsi="Times New Roman" w:cs="Times New Roman"/>
          <w:b/>
          <w:sz w:val="24"/>
          <w:szCs w:val="24"/>
        </w:rPr>
      </w:pPr>
    </w:p>
    <w:p w:rsidR="00A9472E" w:rsidRPr="00A9472E" w:rsidRDefault="00A9472E" w:rsidP="00A9472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Quest</w:t>
      </w:r>
      <w:r w:rsidRPr="00A9472E">
        <w:rPr>
          <w:rFonts w:ascii="Times New Roman" w:hAnsi="Times New Roman" w:cs="Times New Roman"/>
          <w:b/>
          <w:sz w:val="24"/>
          <w:szCs w:val="24"/>
        </w:rPr>
        <w:t>ion 1.</w:t>
      </w:r>
    </w:p>
    <w:p w:rsidR="00A9472E" w:rsidRPr="00A9472E" w:rsidRDefault="00A9472E" w:rsidP="00D40DEE">
      <w:pPr>
        <w:spacing w:line="480" w:lineRule="auto"/>
        <w:ind w:firstLine="720"/>
        <w:rPr>
          <w:rFonts w:ascii="Times New Roman" w:hAnsi="Times New Roman" w:cs="Times New Roman"/>
          <w:sz w:val="24"/>
          <w:szCs w:val="24"/>
        </w:rPr>
      </w:pPr>
      <w:r w:rsidRPr="00A9472E">
        <w:rPr>
          <w:rFonts w:ascii="Times New Roman" w:hAnsi="Times New Roman" w:cs="Times New Roman"/>
          <w:sz w:val="24"/>
          <w:szCs w:val="24"/>
        </w:rPr>
        <w:t>In many cases, the top managers are rewarded according to the size of the business they manage due to education, risk, stress and embodied hard work. The top managers are entitled to come up with tough decisions for the organization. The top-level executive is a stressful position; the activities take away from home life. Therefore, many managers are always on the clock. If an event is to happen, they are strictly on phone calls. Managers lead the firm to struggle to achieve the best they can following the outlined plans and goals (Hou et al., 2017). In this regard, if the company is big, a top level manager should be well salaried and is the business is young (small), there is no need to pay top executi</w:t>
      </w:r>
      <w:r w:rsidR="00D40DEE">
        <w:rPr>
          <w:rFonts w:ascii="Times New Roman" w:hAnsi="Times New Roman" w:cs="Times New Roman"/>
          <w:sz w:val="24"/>
          <w:szCs w:val="24"/>
        </w:rPr>
        <w:t xml:space="preserve">ves more than they can afford </w:t>
      </w:r>
      <w:r w:rsidRPr="00A9472E">
        <w:rPr>
          <w:rFonts w:ascii="Times New Roman" w:hAnsi="Times New Roman" w:cs="Times New Roman"/>
          <w:sz w:val="24"/>
          <w:szCs w:val="24"/>
        </w:rPr>
        <w:t>.The shareholder should linkup closely with the top level executive in interest for success if the entire business. Partaking executive pay offer incentivizes for achieving end-goals for the business, and this would increasingly benefit shareholders while bettering the relationship.</w:t>
      </w:r>
    </w:p>
    <w:p w:rsidR="00A9472E" w:rsidRPr="00A9472E" w:rsidRDefault="00A9472E" w:rsidP="00A9472E">
      <w:pPr>
        <w:spacing w:line="480" w:lineRule="auto"/>
        <w:jc w:val="center"/>
        <w:rPr>
          <w:rFonts w:ascii="Times New Roman" w:hAnsi="Times New Roman" w:cs="Times New Roman"/>
          <w:b/>
          <w:sz w:val="24"/>
          <w:szCs w:val="24"/>
        </w:rPr>
      </w:pPr>
      <w:r w:rsidRPr="00A9472E">
        <w:rPr>
          <w:rFonts w:ascii="Times New Roman" w:hAnsi="Times New Roman" w:cs="Times New Roman"/>
          <w:b/>
          <w:sz w:val="24"/>
          <w:szCs w:val="24"/>
        </w:rPr>
        <w:t>Question 2.</w:t>
      </w:r>
    </w:p>
    <w:p w:rsidR="00A9472E" w:rsidRPr="00A9472E" w:rsidRDefault="00A9472E" w:rsidP="00D40DEE">
      <w:pPr>
        <w:spacing w:line="480" w:lineRule="auto"/>
        <w:ind w:firstLine="720"/>
        <w:rPr>
          <w:rFonts w:ascii="Times New Roman" w:hAnsi="Times New Roman" w:cs="Times New Roman"/>
          <w:sz w:val="24"/>
          <w:szCs w:val="24"/>
        </w:rPr>
      </w:pPr>
      <w:r w:rsidRPr="00A9472E">
        <w:rPr>
          <w:rFonts w:ascii="Times New Roman" w:hAnsi="Times New Roman" w:cs="Times New Roman"/>
          <w:sz w:val="24"/>
          <w:szCs w:val="24"/>
        </w:rPr>
        <w:t>In the case study, the firm outlined strategies that would be beneficial to it</w:t>
      </w:r>
      <w:r w:rsidR="00D40DEE">
        <w:rPr>
          <w:rFonts w:ascii="Times New Roman" w:hAnsi="Times New Roman" w:cs="Times New Roman"/>
          <w:sz w:val="24"/>
          <w:szCs w:val="24"/>
        </w:rPr>
        <w:t>s operations</w:t>
      </w:r>
      <w:r w:rsidRPr="00A9472E">
        <w:rPr>
          <w:rFonts w:ascii="Times New Roman" w:hAnsi="Times New Roman" w:cs="Times New Roman"/>
          <w:sz w:val="24"/>
          <w:szCs w:val="24"/>
        </w:rPr>
        <w:t xml:space="preserve">. They include; establishing and enhancing leading brands, emphasis on chances in high margins and high growth categories, escalate existence in high margin categories, control the firms incorporated business model, reinforcing firm’s distribution networks via acquisitions and advance operation competence. From the strategies above, reinforcing firm’s distribution channels via acquisitions is more likely to benefit the business. As such, the acquisition will enable the company to have all products available to many people and the larger market will be accessed. Many customers will be aware of the firm’s products thus increased sales revenue. The acquisition will suitably help by harmonizing the supply and demand curves where, consumer demand will be sorted through adequate supply to encounter demand (Van Lieshout &amp; Beeres, </w:t>
      </w:r>
      <w:r w:rsidRPr="00A9472E">
        <w:rPr>
          <w:rFonts w:ascii="Times New Roman" w:hAnsi="Times New Roman" w:cs="Times New Roman"/>
          <w:sz w:val="24"/>
          <w:szCs w:val="24"/>
        </w:rPr>
        <w:lastRenderedPageBreak/>
        <w:t>2017).Other than the above strategies, the business can put into account another approach to back-up its planned direction, that is; product differentiation. This would imply that potential customers will be gripped by the firm’s differentiated products in contrast with alternatives from competitors. This strategy will work effect</w:t>
      </w:r>
      <w:r w:rsidR="00281FFD">
        <w:rPr>
          <w:rFonts w:ascii="Times New Roman" w:hAnsi="Times New Roman" w:cs="Times New Roman"/>
          <w:sz w:val="24"/>
          <w:szCs w:val="24"/>
        </w:rPr>
        <w:t>ively without influencing the fi</w:t>
      </w:r>
      <w:r w:rsidRPr="00A9472E">
        <w:rPr>
          <w:rFonts w:ascii="Times New Roman" w:hAnsi="Times New Roman" w:cs="Times New Roman"/>
          <w:sz w:val="24"/>
          <w:szCs w:val="24"/>
        </w:rPr>
        <w:t>rm</w:t>
      </w:r>
      <w:r w:rsidR="00281FFD">
        <w:rPr>
          <w:rFonts w:ascii="Times New Roman" w:hAnsi="Times New Roman" w:cs="Times New Roman"/>
          <w:sz w:val="24"/>
          <w:szCs w:val="24"/>
        </w:rPr>
        <w:t>’</w:t>
      </w:r>
      <w:r w:rsidRPr="00A9472E">
        <w:rPr>
          <w:rFonts w:ascii="Times New Roman" w:hAnsi="Times New Roman" w:cs="Times New Roman"/>
          <w:sz w:val="24"/>
          <w:szCs w:val="24"/>
        </w:rPr>
        <w:t>s objectives</w:t>
      </w:r>
      <w:r w:rsidR="00281FFD">
        <w:rPr>
          <w:rFonts w:ascii="Times New Roman" w:hAnsi="Times New Roman" w:cs="Times New Roman"/>
          <w:sz w:val="24"/>
          <w:szCs w:val="24"/>
        </w:rPr>
        <w:t>,</w:t>
      </w:r>
      <w:r w:rsidRPr="00A9472E">
        <w:rPr>
          <w:rFonts w:ascii="Times New Roman" w:hAnsi="Times New Roman" w:cs="Times New Roman"/>
          <w:sz w:val="24"/>
          <w:szCs w:val="24"/>
        </w:rPr>
        <w:t xml:space="preserve"> improving sales</w:t>
      </w:r>
      <w:r w:rsidR="00281FFD">
        <w:rPr>
          <w:rFonts w:ascii="Times New Roman" w:hAnsi="Times New Roman" w:cs="Times New Roman"/>
          <w:sz w:val="24"/>
          <w:szCs w:val="24"/>
        </w:rPr>
        <w:t>,</w:t>
      </w:r>
      <w:r w:rsidRPr="00A9472E">
        <w:rPr>
          <w:rFonts w:ascii="Times New Roman" w:hAnsi="Times New Roman" w:cs="Times New Roman"/>
          <w:sz w:val="24"/>
          <w:szCs w:val="24"/>
        </w:rPr>
        <w:t xml:space="preserve"> returns</w:t>
      </w:r>
      <w:r w:rsidR="00281FFD">
        <w:rPr>
          <w:rFonts w:ascii="Times New Roman" w:hAnsi="Times New Roman" w:cs="Times New Roman"/>
          <w:sz w:val="24"/>
          <w:szCs w:val="24"/>
        </w:rPr>
        <w:t xml:space="preserve">, </w:t>
      </w:r>
      <w:r w:rsidRPr="00A9472E">
        <w:rPr>
          <w:rFonts w:ascii="Times New Roman" w:hAnsi="Times New Roman" w:cs="Times New Roman"/>
          <w:sz w:val="24"/>
          <w:szCs w:val="24"/>
        </w:rPr>
        <w:t xml:space="preserve"> and boosting shareholders wealth as well.</w:t>
      </w:r>
    </w:p>
    <w:p w:rsidR="00A9472E" w:rsidRPr="00A9472E" w:rsidRDefault="00A9472E" w:rsidP="00A9472E">
      <w:pPr>
        <w:spacing w:line="480" w:lineRule="auto"/>
        <w:ind w:firstLine="720"/>
        <w:rPr>
          <w:rFonts w:ascii="Times New Roman" w:hAnsi="Times New Roman" w:cs="Times New Roman"/>
          <w:sz w:val="24"/>
          <w:szCs w:val="24"/>
        </w:rPr>
      </w:pPr>
    </w:p>
    <w:p w:rsidR="00A9472E" w:rsidRPr="00A9472E" w:rsidRDefault="00A9472E" w:rsidP="00A9472E">
      <w:pPr>
        <w:spacing w:line="480" w:lineRule="auto"/>
        <w:ind w:firstLine="720"/>
        <w:rPr>
          <w:rFonts w:ascii="Times New Roman" w:hAnsi="Times New Roman" w:cs="Times New Roman"/>
          <w:sz w:val="24"/>
          <w:szCs w:val="24"/>
        </w:rPr>
      </w:pPr>
    </w:p>
    <w:p w:rsidR="00A9472E" w:rsidRPr="00A9472E" w:rsidRDefault="00A9472E" w:rsidP="00A9472E">
      <w:pPr>
        <w:spacing w:line="480" w:lineRule="auto"/>
        <w:ind w:firstLine="720"/>
        <w:rPr>
          <w:rFonts w:ascii="Times New Roman" w:hAnsi="Times New Roman" w:cs="Times New Roman"/>
          <w:sz w:val="24"/>
          <w:szCs w:val="24"/>
        </w:rPr>
      </w:pPr>
    </w:p>
    <w:p w:rsidR="00A9472E" w:rsidRPr="00A9472E" w:rsidRDefault="00A9472E" w:rsidP="00A9472E">
      <w:pPr>
        <w:spacing w:line="480" w:lineRule="auto"/>
        <w:ind w:firstLine="720"/>
        <w:rPr>
          <w:rFonts w:ascii="Times New Roman" w:hAnsi="Times New Roman" w:cs="Times New Roman"/>
          <w:sz w:val="24"/>
          <w:szCs w:val="24"/>
        </w:rPr>
      </w:pPr>
    </w:p>
    <w:p w:rsidR="00A9472E" w:rsidRPr="00A9472E" w:rsidRDefault="00A9472E" w:rsidP="00A9472E">
      <w:pPr>
        <w:spacing w:line="480" w:lineRule="auto"/>
        <w:ind w:firstLine="720"/>
        <w:rPr>
          <w:rFonts w:ascii="Times New Roman" w:hAnsi="Times New Roman" w:cs="Times New Roman"/>
          <w:sz w:val="24"/>
          <w:szCs w:val="24"/>
        </w:rPr>
      </w:pPr>
    </w:p>
    <w:p w:rsidR="00A9472E" w:rsidRPr="00A9472E" w:rsidRDefault="00A9472E" w:rsidP="00A9472E">
      <w:pPr>
        <w:spacing w:line="480" w:lineRule="auto"/>
        <w:ind w:firstLine="720"/>
        <w:rPr>
          <w:rFonts w:ascii="Times New Roman" w:hAnsi="Times New Roman" w:cs="Times New Roman"/>
          <w:sz w:val="24"/>
          <w:szCs w:val="24"/>
        </w:rPr>
      </w:pPr>
    </w:p>
    <w:p w:rsidR="00A9472E" w:rsidRPr="00A9472E" w:rsidRDefault="00A9472E" w:rsidP="00A9472E">
      <w:pPr>
        <w:spacing w:line="480" w:lineRule="auto"/>
        <w:ind w:firstLine="720"/>
        <w:rPr>
          <w:rFonts w:ascii="Times New Roman" w:hAnsi="Times New Roman" w:cs="Times New Roman"/>
          <w:sz w:val="24"/>
          <w:szCs w:val="24"/>
        </w:rPr>
      </w:pPr>
    </w:p>
    <w:p w:rsidR="00A9472E" w:rsidRDefault="00A9472E" w:rsidP="00A9472E">
      <w:pPr>
        <w:spacing w:line="480" w:lineRule="auto"/>
        <w:rPr>
          <w:rFonts w:ascii="Times New Roman" w:hAnsi="Times New Roman" w:cs="Times New Roman"/>
          <w:sz w:val="24"/>
          <w:szCs w:val="24"/>
        </w:rPr>
      </w:pPr>
    </w:p>
    <w:p w:rsidR="00A9472E" w:rsidRDefault="00A9472E" w:rsidP="00A9472E">
      <w:pPr>
        <w:spacing w:line="480" w:lineRule="auto"/>
        <w:rPr>
          <w:rFonts w:ascii="Times New Roman" w:hAnsi="Times New Roman" w:cs="Times New Roman"/>
          <w:sz w:val="24"/>
          <w:szCs w:val="24"/>
        </w:rPr>
      </w:pPr>
    </w:p>
    <w:p w:rsidR="00A9472E" w:rsidRDefault="00A9472E" w:rsidP="00A9472E">
      <w:pPr>
        <w:spacing w:line="480" w:lineRule="auto"/>
        <w:rPr>
          <w:rFonts w:ascii="Times New Roman" w:hAnsi="Times New Roman" w:cs="Times New Roman"/>
          <w:sz w:val="24"/>
          <w:szCs w:val="24"/>
        </w:rPr>
      </w:pPr>
    </w:p>
    <w:p w:rsidR="00A9472E" w:rsidRDefault="00A9472E" w:rsidP="00A9472E">
      <w:pPr>
        <w:spacing w:line="480" w:lineRule="auto"/>
        <w:rPr>
          <w:rFonts w:ascii="Times New Roman" w:hAnsi="Times New Roman" w:cs="Times New Roman"/>
          <w:sz w:val="24"/>
          <w:szCs w:val="24"/>
        </w:rPr>
      </w:pPr>
    </w:p>
    <w:p w:rsidR="00A9472E" w:rsidRPr="00A9472E" w:rsidRDefault="00A9472E" w:rsidP="00A9472E">
      <w:pPr>
        <w:spacing w:line="480" w:lineRule="auto"/>
        <w:rPr>
          <w:rFonts w:ascii="Times New Roman" w:hAnsi="Times New Roman" w:cs="Times New Roman"/>
          <w:sz w:val="24"/>
          <w:szCs w:val="24"/>
        </w:rPr>
      </w:pPr>
    </w:p>
    <w:p w:rsidR="00281FFD" w:rsidRDefault="00281FFD" w:rsidP="00A9472E">
      <w:pPr>
        <w:spacing w:line="480" w:lineRule="auto"/>
        <w:jc w:val="center"/>
        <w:rPr>
          <w:rFonts w:ascii="Times New Roman" w:hAnsi="Times New Roman" w:cs="Times New Roman"/>
          <w:sz w:val="24"/>
          <w:szCs w:val="24"/>
        </w:rPr>
      </w:pPr>
    </w:p>
    <w:p w:rsidR="00281FFD" w:rsidRDefault="00281FFD" w:rsidP="00281FFD">
      <w:pPr>
        <w:spacing w:line="480" w:lineRule="auto"/>
        <w:rPr>
          <w:rFonts w:ascii="Times New Roman" w:hAnsi="Times New Roman" w:cs="Times New Roman"/>
          <w:sz w:val="24"/>
          <w:szCs w:val="24"/>
        </w:rPr>
      </w:pPr>
    </w:p>
    <w:p w:rsidR="00A9472E" w:rsidRPr="00A9472E" w:rsidRDefault="002A4CFC" w:rsidP="00281FFD">
      <w:pPr>
        <w:spacing w:line="480" w:lineRule="auto"/>
        <w:jc w:val="center"/>
        <w:rPr>
          <w:rFonts w:ascii="Times New Roman" w:hAnsi="Times New Roman" w:cs="Times New Roman"/>
          <w:sz w:val="24"/>
          <w:szCs w:val="24"/>
        </w:rPr>
      </w:pPr>
      <w:r w:rsidRPr="00A9472E">
        <w:rPr>
          <w:rFonts w:ascii="Times New Roman" w:hAnsi="Times New Roman" w:cs="Times New Roman"/>
          <w:sz w:val="24"/>
          <w:szCs w:val="24"/>
        </w:rPr>
        <w:lastRenderedPageBreak/>
        <w:t>Reference</w:t>
      </w:r>
      <w:r w:rsidR="00A9472E">
        <w:rPr>
          <w:rFonts w:ascii="Times New Roman" w:hAnsi="Times New Roman" w:cs="Times New Roman"/>
          <w:sz w:val="24"/>
          <w:szCs w:val="24"/>
        </w:rPr>
        <w:t>s</w:t>
      </w:r>
      <w:r w:rsidRPr="00A9472E">
        <w:rPr>
          <w:rFonts w:ascii="Times New Roman" w:hAnsi="Times New Roman" w:cs="Times New Roman"/>
          <w:sz w:val="24"/>
          <w:szCs w:val="24"/>
        </w:rPr>
        <w:t>.</w:t>
      </w:r>
    </w:p>
    <w:p w:rsidR="00A9472E" w:rsidRPr="00A9472E" w:rsidRDefault="00A9472E" w:rsidP="00281FFD">
      <w:pPr>
        <w:spacing w:line="480" w:lineRule="auto"/>
        <w:ind w:left="720" w:hanging="720"/>
        <w:rPr>
          <w:rFonts w:ascii="Times New Roman" w:hAnsi="Times New Roman" w:cs="Times New Roman"/>
          <w:color w:val="222222"/>
          <w:sz w:val="24"/>
          <w:szCs w:val="24"/>
          <w:shd w:val="clear" w:color="auto" w:fill="FFFFFF"/>
        </w:rPr>
      </w:pPr>
      <w:r w:rsidRPr="00A9472E">
        <w:rPr>
          <w:rFonts w:ascii="Times New Roman" w:hAnsi="Times New Roman" w:cs="Times New Roman"/>
          <w:color w:val="222222"/>
          <w:sz w:val="24"/>
          <w:szCs w:val="24"/>
          <w:shd w:val="clear" w:color="auto" w:fill="FFFFFF"/>
        </w:rPr>
        <w:t>Hou, W., Priem, R. L., &amp; Goranova, M. (2017). Does One Size Fit All? Investigating Pay–Future Performance Relationships Over the “Seasons” of CEO Tenure. </w:t>
      </w:r>
      <w:r w:rsidRPr="00A9472E">
        <w:rPr>
          <w:rFonts w:ascii="Times New Roman" w:hAnsi="Times New Roman" w:cs="Times New Roman"/>
          <w:i/>
          <w:iCs/>
          <w:color w:val="222222"/>
          <w:sz w:val="24"/>
          <w:szCs w:val="24"/>
          <w:shd w:val="clear" w:color="auto" w:fill="FFFFFF"/>
        </w:rPr>
        <w:t>Journal of Management</w:t>
      </w:r>
      <w:r w:rsidRPr="00A9472E">
        <w:rPr>
          <w:rFonts w:ascii="Times New Roman" w:hAnsi="Times New Roman" w:cs="Times New Roman"/>
          <w:color w:val="222222"/>
          <w:sz w:val="24"/>
          <w:szCs w:val="24"/>
          <w:shd w:val="clear" w:color="auto" w:fill="FFFFFF"/>
        </w:rPr>
        <w:t>, </w:t>
      </w:r>
      <w:r w:rsidRPr="00A9472E">
        <w:rPr>
          <w:rFonts w:ascii="Times New Roman" w:hAnsi="Times New Roman" w:cs="Times New Roman"/>
          <w:i/>
          <w:iCs/>
          <w:color w:val="222222"/>
          <w:sz w:val="24"/>
          <w:szCs w:val="24"/>
          <w:shd w:val="clear" w:color="auto" w:fill="FFFFFF"/>
        </w:rPr>
        <w:t>43</w:t>
      </w:r>
      <w:r w:rsidRPr="00A9472E">
        <w:rPr>
          <w:rFonts w:ascii="Times New Roman" w:hAnsi="Times New Roman" w:cs="Times New Roman"/>
          <w:color w:val="222222"/>
          <w:sz w:val="24"/>
          <w:szCs w:val="24"/>
          <w:shd w:val="clear" w:color="auto" w:fill="FFFFFF"/>
        </w:rPr>
        <w:t>(3), 864-891.</w:t>
      </w:r>
    </w:p>
    <w:p w:rsidR="00A9472E" w:rsidRPr="00A9472E" w:rsidRDefault="00A9472E" w:rsidP="00281FFD">
      <w:pPr>
        <w:spacing w:line="480" w:lineRule="auto"/>
        <w:ind w:left="720" w:hanging="720"/>
        <w:rPr>
          <w:rFonts w:ascii="Times New Roman" w:hAnsi="Times New Roman" w:cs="Times New Roman"/>
          <w:sz w:val="24"/>
          <w:szCs w:val="24"/>
        </w:rPr>
      </w:pPr>
      <w:r w:rsidRPr="00A9472E">
        <w:rPr>
          <w:rFonts w:ascii="Times New Roman" w:hAnsi="Times New Roman" w:cs="Times New Roman"/>
          <w:color w:val="222222"/>
          <w:sz w:val="24"/>
          <w:szCs w:val="24"/>
          <w:shd w:val="clear" w:color="auto" w:fill="FFFFFF"/>
        </w:rPr>
        <w:t>van Lieshout, J., &amp; Beeres, R. (2017). Strategic Counter-Marketing to Fight ISIL. In </w:t>
      </w:r>
      <w:r w:rsidRPr="00A9472E">
        <w:rPr>
          <w:rFonts w:ascii="Times New Roman" w:hAnsi="Times New Roman" w:cs="Times New Roman"/>
          <w:i/>
          <w:iCs/>
          <w:color w:val="222222"/>
          <w:sz w:val="24"/>
          <w:szCs w:val="24"/>
          <w:shd w:val="clear" w:color="auto" w:fill="FFFFFF"/>
        </w:rPr>
        <w:t>Netherlands Annual Review of Military Studies 2017</w:t>
      </w:r>
      <w:r w:rsidRPr="00A9472E">
        <w:rPr>
          <w:rFonts w:ascii="Times New Roman" w:hAnsi="Times New Roman" w:cs="Times New Roman"/>
          <w:color w:val="222222"/>
          <w:sz w:val="24"/>
          <w:szCs w:val="24"/>
          <w:shd w:val="clear" w:color="auto" w:fill="FFFFFF"/>
        </w:rPr>
        <w:t> (p</w:t>
      </w:r>
      <w:bookmarkStart w:id="0" w:name="_GoBack"/>
      <w:bookmarkEnd w:id="0"/>
      <w:r w:rsidRPr="00A9472E">
        <w:rPr>
          <w:rFonts w:ascii="Times New Roman" w:hAnsi="Times New Roman" w:cs="Times New Roman"/>
          <w:color w:val="222222"/>
          <w:sz w:val="24"/>
          <w:szCs w:val="24"/>
          <w:shd w:val="clear" w:color="auto" w:fill="FFFFFF"/>
        </w:rPr>
        <w:t>p. 181-194). TMC Asser Press, The Hague.</w:t>
      </w:r>
    </w:p>
    <w:sectPr w:rsidR="00A9472E" w:rsidRPr="00A9472E" w:rsidSect="00A947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C4E" w:rsidRDefault="00141C4E" w:rsidP="00A9472E">
      <w:pPr>
        <w:spacing w:after="0" w:line="240" w:lineRule="auto"/>
      </w:pPr>
      <w:r>
        <w:separator/>
      </w:r>
    </w:p>
  </w:endnote>
  <w:endnote w:type="continuationSeparator" w:id="1">
    <w:p w:rsidR="00141C4E" w:rsidRDefault="00141C4E" w:rsidP="00A947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C4E" w:rsidRDefault="00141C4E" w:rsidP="00A9472E">
      <w:pPr>
        <w:spacing w:after="0" w:line="240" w:lineRule="auto"/>
      </w:pPr>
      <w:r>
        <w:separator/>
      </w:r>
    </w:p>
  </w:footnote>
  <w:footnote w:type="continuationSeparator" w:id="1">
    <w:p w:rsidR="00141C4E" w:rsidRDefault="00141C4E" w:rsidP="00A947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12631261"/>
      <w:docPartObj>
        <w:docPartGallery w:val="Page Numbers (Top of Page)"/>
        <w:docPartUnique/>
      </w:docPartObj>
    </w:sdtPr>
    <w:sdtEndPr>
      <w:rPr>
        <w:noProof/>
      </w:rPr>
    </w:sdtEndPr>
    <w:sdtContent>
      <w:p w:rsidR="00A9472E" w:rsidRPr="00A9472E" w:rsidRDefault="00A9472E">
        <w:pPr>
          <w:pStyle w:val="Header"/>
          <w:rPr>
            <w:rFonts w:ascii="Times New Roman" w:hAnsi="Times New Roman" w:cs="Times New Roman"/>
            <w:sz w:val="24"/>
            <w:szCs w:val="24"/>
          </w:rPr>
        </w:pPr>
        <w:r w:rsidRPr="00A9472E">
          <w:rPr>
            <w:rFonts w:ascii="Times New Roman" w:hAnsi="Times New Roman" w:cs="Times New Roman"/>
            <w:sz w:val="24"/>
            <w:szCs w:val="24"/>
          </w:rPr>
          <w:t>EXECUTIVE PAY.</w:t>
        </w:r>
        <w:r w:rsidRPr="00A9472E">
          <w:rPr>
            <w:rFonts w:ascii="Times New Roman" w:hAnsi="Times New Roman" w:cs="Times New Roman"/>
            <w:sz w:val="24"/>
            <w:szCs w:val="24"/>
          </w:rPr>
          <w:tab/>
        </w:r>
        <w:r w:rsidRPr="00A9472E">
          <w:rPr>
            <w:rFonts w:ascii="Times New Roman" w:hAnsi="Times New Roman" w:cs="Times New Roman"/>
            <w:sz w:val="24"/>
            <w:szCs w:val="24"/>
          </w:rPr>
          <w:tab/>
        </w:r>
        <w:r w:rsidR="002A6DBE" w:rsidRPr="00A9472E">
          <w:rPr>
            <w:rFonts w:ascii="Times New Roman" w:hAnsi="Times New Roman" w:cs="Times New Roman"/>
            <w:sz w:val="24"/>
            <w:szCs w:val="24"/>
          </w:rPr>
          <w:fldChar w:fldCharType="begin"/>
        </w:r>
        <w:r w:rsidRPr="00A9472E">
          <w:rPr>
            <w:rFonts w:ascii="Times New Roman" w:hAnsi="Times New Roman" w:cs="Times New Roman"/>
            <w:sz w:val="24"/>
            <w:szCs w:val="24"/>
          </w:rPr>
          <w:instrText xml:space="preserve"> PAGE   \* MERGEFORMAT </w:instrText>
        </w:r>
        <w:r w:rsidR="002A6DBE" w:rsidRPr="00A9472E">
          <w:rPr>
            <w:rFonts w:ascii="Times New Roman" w:hAnsi="Times New Roman" w:cs="Times New Roman"/>
            <w:sz w:val="24"/>
            <w:szCs w:val="24"/>
          </w:rPr>
          <w:fldChar w:fldCharType="separate"/>
        </w:r>
        <w:r w:rsidR="00281FFD">
          <w:rPr>
            <w:rFonts w:ascii="Times New Roman" w:hAnsi="Times New Roman" w:cs="Times New Roman"/>
            <w:noProof/>
            <w:sz w:val="24"/>
            <w:szCs w:val="24"/>
          </w:rPr>
          <w:t>2</w:t>
        </w:r>
        <w:r w:rsidR="002A6DBE" w:rsidRPr="00A9472E">
          <w:rPr>
            <w:rFonts w:ascii="Times New Roman" w:hAnsi="Times New Roman" w:cs="Times New Roman"/>
            <w:noProof/>
            <w:sz w:val="24"/>
            <w:szCs w:val="24"/>
          </w:rPr>
          <w:fldChar w:fldCharType="end"/>
        </w:r>
      </w:p>
    </w:sdtContent>
  </w:sdt>
  <w:p w:rsidR="00A9472E" w:rsidRPr="00A9472E" w:rsidRDefault="00A9472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2E" w:rsidRPr="00A9472E" w:rsidRDefault="00A9472E" w:rsidP="00A9472E">
    <w:pPr>
      <w:rPr>
        <w:rFonts w:ascii="Times New Roman" w:hAnsi="Times New Roman" w:cs="Times New Roman"/>
        <w:sz w:val="24"/>
        <w:szCs w:val="24"/>
      </w:rPr>
    </w:pPr>
    <w:r w:rsidRPr="00A9472E">
      <w:rPr>
        <w:rFonts w:ascii="Times New Roman" w:hAnsi="Times New Roman" w:cs="Times New Roman"/>
        <w:sz w:val="24"/>
        <w:szCs w:val="24"/>
      </w:rPr>
      <w:t>Running Head: EXECUTIVE PAY.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472E">
      <w:rPr>
        <w:rFonts w:ascii="Times New Roman" w:hAnsi="Times New Roman" w:cs="Times New Roman"/>
        <w:sz w:val="24"/>
        <w:szCs w:val="24"/>
      </w:rPr>
      <w:tab/>
    </w:r>
    <w:sdt>
      <w:sdtPr>
        <w:rPr>
          <w:rFonts w:ascii="Times New Roman" w:hAnsi="Times New Roman" w:cs="Times New Roman"/>
          <w:sz w:val="24"/>
          <w:szCs w:val="24"/>
        </w:rPr>
        <w:id w:val="1609999683"/>
        <w:docPartObj>
          <w:docPartGallery w:val="Page Numbers (Top of Page)"/>
          <w:docPartUnique/>
        </w:docPartObj>
      </w:sdtPr>
      <w:sdtEndPr>
        <w:rPr>
          <w:noProof/>
        </w:rPr>
      </w:sdtEndPr>
      <w:sdtContent>
        <w:r w:rsidR="002A6DBE" w:rsidRPr="00A9472E">
          <w:rPr>
            <w:rFonts w:ascii="Times New Roman" w:hAnsi="Times New Roman" w:cs="Times New Roman"/>
            <w:sz w:val="24"/>
            <w:szCs w:val="24"/>
          </w:rPr>
          <w:fldChar w:fldCharType="begin"/>
        </w:r>
        <w:r w:rsidRPr="00A9472E">
          <w:rPr>
            <w:rFonts w:ascii="Times New Roman" w:hAnsi="Times New Roman" w:cs="Times New Roman"/>
            <w:sz w:val="24"/>
            <w:szCs w:val="24"/>
          </w:rPr>
          <w:instrText xml:space="preserve"> PAGE   \* MERGEFORMAT </w:instrText>
        </w:r>
        <w:r w:rsidR="002A6DBE" w:rsidRPr="00A9472E">
          <w:rPr>
            <w:rFonts w:ascii="Times New Roman" w:hAnsi="Times New Roman" w:cs="Times New Roman"/>
            <w:sz w:val="24"/>
            <w:szCs w:val="24"/>
          </w:rPr>
          <w:fldChar w:fldCharType="separate"/>
        </w:r>
        <w:r w:rsidR="00281FFD">
          <w:rPr>
            <w:rFonts w:ascii="Times New Roman" w:hAnsi="Times New Roman" w:cs="Times New Roman"/>
            <w:noProof/>
            <w:sz w:val="24"/>
            <w:szCs w:val="24"/>
          </w:rPr>
          <w:t>1</w:t>
        </w:r>
        <w:r w:rsidR="002A6DBE" w:rsidRPr="00A9472E">
          <w:rPr>
            <w:rFonts w:ascii="Times New Roman" w:hAnsi="Times New Roman" w:cs="Times New Roman"/>
            <w:noProof/>
            <w:sz w:val="24"/>
            <w:szCs w:val="24"/>
          </w:rPr>
          <w:fldChar w:fldCharType="end"/>
        </w:r>
      </w:sdtContent>
    </w:sdt>
  </w:p>
  <w:p w:rsidR="00A9472E" w:rsidRDefault="00A947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A6A74"/>
    <w:rsid w:val="00141C4E"/>
    <w:rsid w:val="00281FFD"/>
    <w:rsid w:val="002A4CFC"/>
    <w:rsid w:val="002A6DBE"/>
    <w:rsid w:val="003054AB"/>
    <w:rsid w:val="004A6A74"/>
    <w:rsid w:val="00694D9D"/>
    <w:rsid w:val="007B574E"/>
    <w:rsid w:val="00877E90"/>
    <w:rsid w:val="009870E5"/>
    <w:rsid w:val="00A127C2"/>
    <w:rsid w:val="00A514BF"/>
    <w:rsid w:val="00A9472E"/>
    <w:rsid w:val="00D40DEE"/>
    <w:rsid w:val="00DB6D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D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72E"/>
  </w:style>
  <w:style w:type="paragraph" w:styleId="Footer">
    <w:name w:val="footer"/>
    <w:basedOn w:val="Normal"/>
    <w:link w:val="FooterChar"/>
    <w:uiPriority w:val="99"/>
    <w:unhideWhenUsed/>
    <w:rsid w:val="00A94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7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2017-11-10T19:45:00Z</dcterms:created>
  <dcterms:modified xsi:type="dcterms:W3CDTF">2017-11-10T19:45:00Z</dcterms:modified>
</cp:coreProperties>
</file>